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Position: Web &amp; Video Expert</w:t>
      </w:r>
    </w:p>
    <w:p w:rsidR="00000000" w:rsidDel="00000000" w:rsidP="00000000" w:rsidRDefault="00000000" w:rsidRPr="00000000" w14:paraId="00000003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Web &amp; Video Expert will produce high-quality visual content and manage digital platforms to enhance the project’s public visibility.</w:t>
      </w:r>
    </w:p>
    <w:p w:rsidR="00000000" w:rsidDel="00000000" w:rsidP="00000000" w:rsidRDefault="00000000" w:rsidRPr="00000000" w14:paraId="00000005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Content creation, multimedia production, and website management for environmental initiatives.</w:t>
      </w:r>
    </w:p>
    <w:p w:rsidR="00000000" w:rsidDel="00000000" w:rsidP="00000000" w:rsidRDefault="00000000" w:rsidRPr="00000000" w14:paraId="00000007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Produce short videos, animations, and photo stories.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 project milestones and events visually.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 and publish multimedia content for online sharing.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and update the project’s website and social media.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visual content aligns with branding and message.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 with communication and outreach teams.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video-photo materials for donor reporting and public use.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media archive and backups.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 subtitles, voiceovers, and translations.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accessibility and inclusiveness in digital materials.</w:t>
      </w:r>
    </w:p>
    <w:p w:rsidR="00000000" w:rsidDel="00000000" w:rsidP="00000000" w:rsidRDefault="00000000" w:rsidRPr="00000000" w14:paraId="0000001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 or certification in Multimedia, Film, or Digital Communications.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2+ years of experience in video editing and content design.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Proficiency with Adobe Creative Suite or similar tools.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Portfolio of similar work for review (minimum 2 projects).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travel for field video-</w:t>
      </w:r>
      <w:r w:rsidDel="00000000" w:rsidR="00000000" w:rsidRPr="00000000">
        <w:rPr>
          <w:rtl w:val="0"/>
        </w:rPr>
        <w:t xml:space="preserve">photo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documentation.</w:t>
      </w:r>
    </w:p>
    <w:p w:rsidR="00000000" w:rsidDel="00000000" w:rsidP="00000000" w:rsidRDefault="00000000" w:rsidRPr="00000000" w14:paraId="00000018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BpDKObEOtWPIB8sx5xjjsGb6g==">CgMxLjA4AHIhMWk2Z25KX25lX0dvTVRNMlhjaktINmFlSDZQc2dray1B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