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80" w:line="276" w:lineRule="auto"/>
        <w:jc w:val="both"/>
        <w:rPr>
          <w:rFonts w:ascii="Calibri" w:cs="Calibri" w:eastAsia="Calibri" w:hAnsi="Calibri"/>
          <w:b w:val="1"/>
          <w:color w:val="366091"/>
          <w:sz w:val="28"/>
          <w:szCs w:val="28"/>
        </w:rPr>
      </w:pPr>
      <w:bookmarkStart w:colFirst="0" w:colLast="0" w:name="_heading=h.1fpqcsudw65h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366091"/>
          <w:sz w:val="28"/>
          <w:szCs w:val="28"/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Position: Sustainable Infrastructure Architect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Cambria" w:cs="Cambria" w:eastAsia="Cambria" w:hAnsi="Cambria"/>
          <w:color w:val="43434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Introduction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color w:val="434343"/>
          <w:sz w:val="22"/>
          <w:szCs w:val="22"/>
          <w:rtl w:val="0"/>
        </w:rPr>
        <w:t xml:space="preserve">The Architect will design sustainable, resilient infrastructure solutions tailored to environmental resilience and community development.</w:t>
      </w:r>
    </w:p>
    <w:p w:rsidR="00000000" w:rsidDel="00000000" w:rsidP="00000000" w:rsidRDefault="00000000" w:rsidRPr="00000000" w14:paraId="00000005">
      <w:pPr>
        <w:jc w:val="both"/>
        <w:rPr>
          <w:rFonts w:ascii="Cambria" w:cs="Cambria" w:eastAsia="Cambria" w:hAnsi="Cambria"/>
          <w:color w:val="43434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General Field and Scope:</w:t>
      </w:r>
      <w:r w:rsidDel="00000000" w:rsidR="00000000" w:rsidRPr="00000000">
        <w:rPr>
          <w:rFonts w:ascii="Cambria" w:cs="Cambria" w:eastAsia="Cambria" w:hAnsi="Cambria"/>
          <w:color w:val="0f476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434343"/>
          <w:sz w:val="22"/>
          <w:szCs w:val="22"/>
          <w:rtl w:val="0"/>
        </w:rPr>
        <w:t xml:space="preserve">Architecture for sustainable infrastructure, climate resilience, and community engagement.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Tasks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Develop sustainable architectural designs and technical drawings according to the project ToR and discussions with the donor.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Collaborate with engineers and environmental experts (within the team as well as external experts).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Present architectural solutions to stakeholders and beneficiaries of the project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Provide oversight during the whole period of construction to ensure adherence to designs.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Conduct site visits to monitor implementation.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Incorporate sustainability and resilience principles into all designs.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Prepare detailed construction documentation and specifications needed.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Assist in procurement processes related to architectural components.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Engage stakeholders for design approval and modifications.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Ensure compliance with relevant building codes and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     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Degree in Architecture.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Minimum of 5 years experience in sustainable architecture.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mbria" w:cs="Cambria" w:eastAsia="Cambria" w:hAnsi="Cambria"/>
          <w:sz w:val="22"/>
          <w:szCs w:val="22"/>
          <w:u w:val="no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Portfolio of minimum 2 relevant projects.</w:t>
      </w:r>
    </w:p>
    <w:p w:rsidR="00000000" w:rsidDel="00000000" w:rsidP="00000000" w:rsidRDefault="00000000" w:rsidRPr="00000000" w14:paraId="00000016">
      <w:pPr>
        <w:spacing w:after="200" w:line="276" w:lineRule="auto"/>
        <w:ind w:lef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after="0" w:before="200" w:line="276" w:lineRule="auto"/>
        <w:jc w:val="both"/>
        <w:rPr>
          <w:rFonts w:ascii="Calibri" w:cs="Calibri" w:eastAsia="Calibri" w:hAnsi="Calibri"/>
          <w:b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About Employer: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D37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D37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D37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D37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D37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D37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D37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D376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D376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D376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D376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D376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D37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D37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D37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D376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D376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D376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D37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376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D376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Ce6nske6rykQo0QXXDpYmhQ4RA==">CgMxLjAyDmguMWZwcWNzdWR3NjVoOAByITF4U1VUTnpZUnNyYXdQWXkyYlJpc2dYMWp3cGNqR3NKXw==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2025-07-02T15:03:00Z</dcterms:created>
  <dc:creator>Astghine Pasoyan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c7e119b5-0aea-459b-ada4-0b8a01ff981f</vt:lpwstr>
  </property>
</Properties>
</file>